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211</w:t>
      </w:r>
    </w:p>
    <w:p>
      <w:r>
        <w:t>Bundesgericht (BGE), 2020-07-09, DE</w:t>
      </w:r>
    </w:p>
    <w:p>
      <w:r>
        <w:rPr>
          <w:b/>
        </w:rPr>
        <w:t xml:space="preserve">Quelle: </w:t>
      </w:r>
      <w:r>
        <w:t>https://mcp.opencaselaw.ch/entscheid/bge_146 IV 211</w:t>
      </w:r>
    </w:p>
    <w:p>
      <w:r>
        <w:t>FR: ATF 146 IV 211</w:t>
      </w:r>
    </w:p>
    <w:p>
      <w:r>
        <w:t>IT: DTF 146 IV 211</w:t>
      </w:r>
    </w:p>
    <w:p>
      <w:pPr>
        <w:pStyle w:val="Heading2"/>
      </w:pPr>
      <w:r>
        <w:t>Regeste</w:t>
      </w:r>
    </w:p>
    <w:p>
      <w:r>
        <w:t>Regeste Art. 122 Abs. 1, 126 Abs. 1 lit. a StPO; Art. 305 bis Ziff. 2 StGB; Art. 41, 50 Abs. 3 OR; Zivilklage, Schadenersatzforderung aus Geldwäscherei. Soweit das Gericht die beschuldigte Person schuldig spricht, ist der Entscheid über die anhängig gemachten Schadenersatzforderungen, soweit sie hinreichend begründet und beziffert sind, zwingend (E. 3). Der Tatbestand der Geldwäscherei dient in Fällen, in denen die der Einziehung unterliegenden Vermögenswerte aus Delikten gegen das Vermögen herrühren, neben dem Einziehungsinteresse des Staates auch dem Schutz der individuell durch die Vortat geschädigten Person. Die Haftung des Geldwäschers erstreckt sich auch auf den durch die Vortat verursachten Schaden im Umfang der Vermögenswerte, deren Einziehung durch die Geldwäscherei vereitelt worden ist (E. 4).</w:t>
      </w:r>
    </w:p>
    <w:p>
      <w:pPr>
        <w:pStyle w:val="Heading2"/>
      </w:pPr>
      <w:r>
        <w:t>Erwägungen</w:t>
      </w:r>
    </w:p>
    <w:p>
      <w:r>
        <w:rPr>
          <w:b/>
        </w:rPr>
        <w:t>E. 3.1</w:t>
      </w:r>
    </w:p>
    <w:p>
      <w:r>
        <w:t>Die geschädigte Person kann als Privatklägerin zivilrechtliche Ansprüche aus der Straftat adhäsionsweise im Strafverfahren geltend machen ( Art. 122 Abs. 1 StPO ). Die Zivilforderung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(6B_152/2018 vom 23. November 2018 E. 4 mit Hinweis). Gemäss Art. 126 Abs. 1 StPO entscheidet das Strafgericht zusammen mit dem Strafurteil materiell über die adhäsionsweise anhängig gemachte Zivilklage, wenn es die beschuldigte Person schuldig spricht (lit. a) oder wenn es sie freispricht und der Sachverhalt spruchreif ist BGE 146 IV 211 S. 214 (lit. b). Spruchreif ist der Sachverhalt, wenn aufgrund der im bisherigen Verfahren gesammelten Beweise ohne Weiterungen über den Zivilanspruch entschieden werden kann, er mithin ausgewiesen ist (Urteile 6B_75/2018 vom 23. November 2018 E. 3.1; 6B_1401/2017 vom 19. September 2018 E. 4.1; je mit Hinweisen; vgl. hierzu NIKLAUS OBERHOLZER, Grundzüge des Strafprozessrechts, 4. Aufl. 2020, N. 610). Gemäss Abs. 2 derselben Bestimmung wird die Zivilklage auf den Zivilweg verwiesen, wenn die Privatklägerschaft ihre Klage nicht hinreichend begründet oder beziffert (lit. b; vgl. auch Art. 84 Abs. 2 und Art. 221 Abs. 1 lit. c und d ZPO ; BGE 137 III 617 E. 4.3 S. 619) oder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 Die Vorinstanz hat im angefochtenen Urteil den Beschwerdegegner schuldig gesprochen. Gemäss Art. 126 Abs. 1 lit. a StPO hatte sie demnach über die geltend gemachten Schadenersatzforderungen zu entscheiden (vgl. auch Urteil 6B_1216/2015 vom 21. September 2016 E. 9, nicht publ. in: BGE 142 IV 346 ). Der Entscheid über die anhängig gemachte Zivilklage ist, soweit sie hinreichend begründet und beziffert ist, bei dieser Konstellation zwingend (Urteile 6B_1401/2017 vom 19. September 2018 E. 4.3; 6B_604/2012 vom 16. Januar 2014 E. 6.2.2; 6B_75/2014 vom 30. September 2014 E. 2.4.3 und 2.4.4).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w:t>
      </w:r>
    </w:p>
    <w:p>
      <w:r>
        <w:rPr>
          <w:b/>
        </w:rPr>
        <w:t>E. 3.2</w:t>
      </w:r>
    </w:p>
    <w:p>
      <w:r>
        <w:t>Nach Art. 41 Abs. 1 OR wird zum Ersatz verpflichtet, wer einem anderen - sei es mit Absicht, sei es aus Fahrlässigkeit - widerrechtlich einen Schaden zufügt. Die Schadenszufügung ist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reine Vermögensschädigungen nur widerrechtlich, wenn sie auf einen Verstoss gegen eine Verhaltensnorm zurückgehen, welche BGE 146 IV 211 S. 215 dem Schutz vor Schädigungen von der Art der eingetretenen dient ( BGE 144 I 318 E. 5.5; BGE 139 IV 137 E. 4.2; BGE 141 III 527 E. 3.2; BGE 129 IV 322 E. 2.2.2; BGE 119 II 127 E. 3; je mit Hinweisen). Gemäss Art. 50 Abs. 1 OR haften, wenn mehrere den Schaden, sei es als Anstifter, Urheber oder Gehilfen, gemeinsam verschuldet haben, dem Geschädigten solidarisch. Nach Abs. 3 derselben Bestimmung haftet der Begünstiger nur dann und nur soweit für Ersatz, als er einen Anteil an dem Gewinn empfangen oder durch seine Beteiligung Schaden verursacht hat.</w:t>
      </w:r>
    </w:p>
    <w:p>
      <w:r>
        <w:rPr>
          <w:b/>
        </w:rPr>
        <w:t>E. 4.1</w:t>
      </w:r>
    </w:p>
    <w:p>
      <w:r>
        <w:t>Die Vorinstanz stellt fest, der Beschuldigte I. habe die Schadenersatzforderung der Beschwerdeführerin anerkannt. Diese habe im Rahmen des Berufungsverfahrens die Zivilklage auf den Betrag von CHF 4'618'577.35, zuzüglich Schadenszins von 5 % auf diesen Betrag seit 31. Dezember 2013, reduziert. Der insgesamt nachgewiesene Schaden belaufe sich auf CHF 4'541'240.20. Abzüglich des MWST-Vorsteuerabzuges, der vom Beschuldigten I. geleisteten Rückzahlungen und der von der Staatsanwaltschaft an die Beschwerdeführerin zurückerstatteten Beträge sei die Zivilklage gegen die Vortäter I. und A. im Umfang von CHF 2'664'778.52 gutzuheissen. Bis zu diesem Betrag bestehe eine solidarische Haftbarkeit der beiden gegenüber der Beschwerdeführerin.</w:t>
      </w:r>
    </w:p>
    <w:p>
      <w:r>
        <w:rPr>
          <w:b/>
        </w:rPr>
        <w:t>E. 4.2.1</w:t>
      </w:r>
    </w:p>
    <w:p>
      <w:r>
        <w:t>Die Beschwerdeführerin hat im zu beurteilenden Fall im kantonalen Verfahren ihre Zivilforderung hinreichend begründet und beziffert. Für die Vorinstanz war mithin klar ersichtlich, auf welche rechtlichen und tatsächlichen Gründe jene ihre Forderung stützte. Sie hatte daher über die Zivilforderung selbst zu urteilen und auf der Grundlage der Rechtsbegehren zu entscheiden, in welchem Umfang die Beschwerdeführerin durch die angeklagten Handlungen des Beschwerdegegners D. und der beiden Vortäter geschädigt worden war. Dies hat die Vorinstanz in Bezug auf die Beschuldigten I. und A. getan. In Bezug auf den Beschwerdegegner D. nimmt die Vorinstanz indes an, für den Geldwäscher bestehe hinsichtlich des durch die Vortat verursachten Schadens lediglich eine subsidiäre zivilrechtliche Verantwortlichkeit und die gegen jenen gerichtete Zivilforderung sei nicht genügend ausgewiesen. Diese Rechtsauffassung verletzt Bundesrecht. Der Tatbestand der Geldwäscherei im Sinne von Art. 305 bis Ziff. 1 StGB schützt zwar in BGE 146 IV 211 S. 216 erster Linie die Rechtspflege in der Durchsetzung des staatlichen Einziehungsanspruchs bzw. das öffentliche Interesse an einem reibungslosen Funktionieren der Strafrechtspflege. Doch dient der Tatbestand nach der Rechtsprechung in Fällen, in denen die der Einziehung unterliegenden Vermögenswerte aus Delikten gegen das Vermögen herrühren, neben dem Einziehungsinteresse des Staates auch dem Schutz der individuell durch die Vortat Geschädigten ( BGE 145 IV 335 E. 3.1; BGE 129 IV 322 E. 2.2.4; BGE 133 III 323 E. 5.1; je mit Hinweisen; URSULA CASSANI, Droit pénal économique, 2020, Rz. 6.20; vgl. auch CHRISTIAN HEIERLI, Zivilrechtliche Haftung für Geldwäscherei, 2012, Rz. 718 ff., 770; kritisch: ACKERMANN/ZEHNDER, in: Kommentar Kriminelles Vermögen, Kriminelle Organisationen, Bd. II, 2018, N. 97 zu Art. 305 bis Ziff. 1 StGB ; JÖRG SCHWARZ, Zivilrechtliche Haftung für Geldwäscherei, HAVE 2009 S. 15 f.; PETER LEHMANN, Ist Geldwäscherei nach Art. 305 bis StGB eine haftpflichtrechtliche Schutznorm?, in: Schutz und Verantwortung, Liber amicorum für Heinrich Honsell, 2007, S. 17 ff.). Der Schaden besteht danach im Umfang der Vermögenswerte, deren Einziehung durch die Geldwäscherei vereitelt worden ist. Die Einziehung zugunsten des Staates ist nur zulässig, wenn die Vermögenswerte nicht dem Geschädigten zur Wiederherstellung des rechtmässigen Zustandes ausgehändigt werden ( Art. 70 Abs. 1 StGB ). Bei Eigentums- und Vermögensdelikten erfolgt die Einziehung mithin im Interesse des Opfers. Die Geldwäscherei im Sinne der Vereitelung der Einziehung richtet sich in diesen Fällen somit auch gegen die Interessen desjenigen, der durch die Vortat geschädigt wurde ( BGE 139 IV 209 E. 5.3; BGE 129 IV 322 E. 2.2.4; je mit Hinweisen).</w:t>
      </w:r>
    </w:p>
    <w:p>
      <w:r>
        <w:rPr>
          <w:b/>
        </w:rPr>
        <w:t>E. 4.2.2</w:t>
      </w:r>
    </w:p>
    <w:p>
      <w:r>
        <w:t>Die bisherige Rechtsprechung zur zivilrechtlichen Haftung für Geldwäscherei geht von der Prämisse aus, dass der Geldwäscher nicht an der Individualinteressen verletzenden Vortat beteiligt war und daher nicht aus einer derartigen Beteiligung zivilrechtlich belangt werden kann. Wie die Beschwerdeführerin zu Recht vorbringt, bildete die im vorliegenden Verfahren relevante Frage, ob der Täter gegenüber der geschädigten Privatklägerschaft allein auf der Grundlage der Geldwäscherei zivilrechtlich haftbar wird, auch Gegenstand von BGE 129 IV 322 . Insofern lässt sich entgegen der Auffassung der Vorinstanz nicht sagen, die diesem Entscheid zugrunde liegende Konstellation sei nicht mit derjenigen des vorliegenden Falles vergleichbar. Was die Vorinstanz sodann unter Verweisung auf die Lehrmeinung von HEIERLI erwägt, gibt keinen Anlass, von dieser BGE 146 IV 211 S. 217 Rechtsprechung abzukehren. Abgesehen davon findet, worauf die Beschwerdeführerin zu Recht hinweist, die von der Vorinstanz im angefochtenen Urteil vertretene Auffassung in der von ihr zitierten Lehrmeinung keine Stütze. Es trifft zwar zu, dass der Autor im Rahmen seiner Kritik an der bundesgerichtlichen Rechtsprechung ausführt, die Behandlung der Geldwäscherei als eigenständige widerrechtliche Schädigung im Sinne von Art. 41 OR habe zur Folge, dass der Stand des Vermögens mit und ohne Geldwäscherei - ausgehend vom Vermögensstand, wie er beim Geschädigten nach der Vortat vorgelegen habe - miteinander zu vergleichen sei (HEIERLI, a.a.O., Rz. 454, im Anschluss an LEHMANN, a.a.O., S. 21 f.). Danach würde sich der Schaden aus Geldwäscherei in der geldwäschereibedingten Verringerung des subjektiven realen Werts der Schadenersatzforderung des Geschädigten gegen den Vortäter darstellen, wodurch die zivilrechtliche Haftung des Geldwäschers zu einer komplizierten Ausfallhaftung für den Fall werde, dass der Vortäter nicht auf Schadenersatz belangt werden könne (HEIERLI, a.a.O., Rz. 457 ff., 469, 481 ff. und 1260 ff.). Doch stellt sich der Autor zu Recht gegen eine derartig isolierte Betrachtung des Schadens aus Geldwäscherei. Er gelangt vielmehr gestützt auf Art. 50 Abs. 3 OR zur Auffassung, es liege in dem Sinne ein einheitlicher Schaden vor, als die Vermögenswerte dem Geschädigten durch den Vortäter entzogen worden seien und der Geldwäscher diese Schadenlage aufrechterhalten habe (HEIERLI, a.a.O., Rz. 476 ff., 996, 1007, 1154 ff., 1169 ff., 1199 f. und 1309 ff.; vgl. auch ROLAND BREHM, Berner Kommentar, 4. Aufl. 2013, N. 67 zu Art. 50 OR ). Damit steht, wie die Beschwerdeführerin zu Recht einwendet, die von HEIERLI vertretene Auffassung im Ergebnis im Einklang mit der bundesgerichtlichen Rechtsprechung, wonach sich die Haftung des Geldwäschers auch auf den durch die Vortat verursachten Schaden im Umfang der Vermögenswerte, deren Einziehung durch die Geldwäscherei vereitelt worden ist, erstreckt. Die Vorinstanz stützt sich somit für ihren Schluss, die Schadenersatzforderung der Beschwerdeführerin sei nicht hinreichend beziffert und begründet, auf eine unzutreffende Rechtsauffassung, die zudem auch von der von ihr hierfür angerufenen Lehrmeinung nicht geteilt wird. Auf der Grundlage der bundesgerichtlichen Rechtsprechung, nach welcher der Geldwäscher im Umfang der Vermögenswerte, deren Einziehung durch die Geldwäscherei vereitelt worden ist, für den Vortatschaden mithaftet, ist die Zivilforderung hinreichend substantiiert. Die Vorinstanz hätte diese daher nicht auf BGE 146 IV 211 S. 218 den Zivilweg verweisen dürfen, sondern hätte selbst über sie entscheiden müssen. Damit verletzt das angefochtene Urteil in diesem Punkt Bundesrecht.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